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D71846" w:rsidRPr="00FB0C49" w:rsidTr="00EB052D">
        <w:trPr>
          <w:trHeight w:val="1383"/>
        </w:trPr>
        <w:tc>
          <w:tcPr>
            <w:tcW w:w="9355" w:type="dxa"/>
            <w:vAlign w:val="center"/>
          </w:tcPr>
          <w:p w:rsidR="00D71846" w:rsidRPr="00FB0C49" w:rsidRDefault="00D71846" w:rsidP="00D46452">
            <w:pPr>
              <w:pStyle w:val="a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4"/>
              </w:rPr>
              <w:br w:type="page"/>
            </w:r>
            <w:bookmarkStart w:id="0" w:name="_top"/>
            <w:bookmarkEnd w:id="0"/>
            <w:r w:rsidRPr="00FB0C49">
              <w:rPr>
                <w:rFonts w:ascii="Times New Roman" w:hAnsi="Times New Roman" w:cs="Times New Roman"/>
              </w:rPr>
              <w:t>Центральный Банк Российской Федерации</w:t>
            </w:r>
            <w:r w:rsidRPr="00FB0C49">
              <w:rPr>
                <w:rFonts w:ascii="Times New Roman" w:hAnsi="Times New Roman" w:cs="Times New Roman"/>
              </w:rPr>
              <w:br/>
              <w:t>(Банк России)</w:t>
            </w:r>
          </w:p>
        </w:tc>
      </w:tr>
      <w:tr w:rsidR="00D71846" w:rsidRPr="00E208A5" w:rsidTr="00EB052D">
        <w:trPr>
          <w:trHeight w:val="8568"/>
        </w:trPr>
        <w:tc>
          <w:tcPr>
            <w:tcW w:w="9355" w:type="dxa"/>
            <w:vAlign w:val="center"/>
          </w:tcPr>
          <w:p w:rsidR="00D71846" w:rsidRPr="00FB0C49" w:rsidRDefault="00D71846" w:rsidP="00D46452">
            <w:pPr>
              <w:pStyle w:val="a9"/>
              <w:rPr>
                <w:rFonts w:ascii="Times New Roman" w:hAnsi="Times New Roman" w:cs="Times New Roman"/>
                <w:noProof/>
              </w:rPr>
            </w:pPr>
          </w:p>
          <w:p w:rsidR="00D71846" w:rsidRPr="00FB0C49" w:rsidRDefault="00D71846" w:rsidP="00D46452">
            <w:pPr>
              <w:pStyle w:val="a9"/>
              <w:rPr>
                <w:rFonts w:ascii="Times New Roman" w:hAnsi="Times New Roman" w:cs="Times New Roman"/>
                <w:noProof/>
              </w:rPr>
            </w:pPr>
          </w:p>
          <w:p w:rsidR="00D71846" w:rsidRPr="00FB0C49" w:rsidRDefault="00D71846" w:rsidP="00D46452">
            <w:pPr>
              <w:pStyle w:val="a9"/>
              <w:rPr>
                <w:rFonts w:ascii="Times New Roman" w:hAnsi="Times New Roman" w:cs="Times New Roman"/>
                <w:noProof/>
              </w:rPr>
            </w:pPr>
          </w:p>
          <w:p w:rsidR="00D71846" w:rsidRPr="00FB0C49" w:rsidRDefault="00D71846" w:rsidP="00D46452">
            <w:pPr>
              <w:pStyle w:val="a9"/>
              <w:rPr>
                <w:rFonts w:ascii="Times New Roman" w:hAnsi="Times New Roman" w:cs="Times New Roman"/>
                <w:noProof/>
              </w:rPr>
            </w:pPr>
          </w:p>
          <w:p w:rsidR="00D71846" w:rsidRPr="00FB0C49" w:rsidRDefault="00D71846" w:rsidP="00D46452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B0C49">
              <w:rPr>
                <w:rFonts w:ascii="Times New Roman" w:hAnsi="Times New Roman" w:cs="Times New Roman"/>
                <w:sz w:val="32"/>
                <w:szCs w:val="32"/>
              </w:rPr>
              <w:t>Альбом электронных сообщений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, ИСПОЛЬЗУЕМЫХ </w:t>
            </w:r>
            <w:r w:rsidRPr="00FB0C49">
              <w:rPr>
                <w:rFonts w:ascii="Times New Roman" w:hAnsi="Times New Roman" w:cs="Times New Roman"/>
                <w:sz w:val="32"/>
                <w:szCs w:val="32"/>
              </w:rPr>
              <w:t xml:space="preserve">для ВЗАИМОДЕЙСТВИЯ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субъектов</w:t>
            </w:r>
            <w:r w:rsidRPr="00FB0C49">
              <w:rPr>
                <w:rFonts w:ascii="Times New Roman" w:hAnsi="Times New Roman" w:cs="Times New Roman"/>
                <w:sz w:val="32"/>
                <w:szCs w:val="32"/>
              </w:rPr>
              <w:t xml:space="preserve"> платформы ЦИФРОВОГО РУБЛЯ</w:t>
            </w:r>
          </w:p>
          <w:p w:rsidR="00D71846" w:rsidRPr="00FB0C49" w:rsidRDefault="00D71846" w:rsidP="00D46452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71846" w:rsidRPr="00FB0C49" w:rsidRDefault="00D71846" w:rsidP="00D46452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 w:rsidRPr="00FB0C49">
              <w:rPr>
                <w:rFonts w:ascii="Times New Roman" w:hAnsi="Times New Roman" w:cs="Times New Roman"/>
                <w:sz w:val="32"/>
                <w:szCs w:val="32"/>
              </w:rPr>
              <w:br/>
            </w:r>
          </w:p>
          <w:p w:rsidR="00D71846" w:rsidRPr="00FB0C49" w:rsidRDefault="00D71846" w:rsidP="00D46452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71846" w:rsidRPr="00FB0C49" w:rsidRDefault="00D71846" w:rsidP="00D46452">
            <w:pPr>
              <w:pStyle w:val="a8"/>
              <w:spacing w:after="0" w:line="240" w:lineRule="auto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ГлОссарий</w:t>
            </w:r>
          </w:p>
          <w:p w:rsidR="00D71846" w:rsidRPr="00FB0C49" w:rsidRDefault="00D71846" w:rsidP="00D46452">
            <w:pPr>
              <w:pStyle w:val="aa"/>
              <w:rPr>
                <w:rFonts w:ascii="Times New Roman" w:hAnsi="Times New Roman" w:cs="Times New Roman"/>
                <w:noProof/>
                <w:sz w:val="32"/>
              </w:rPr>
            </w:pPr>
          </w:p>
          <w:p w:rsidR="00D71846" w:rsidRPr="00E208A5" w:rsidRDefault="00D71846" w:rsidP="00D46452">
            <w:pPr>
              <w:pStyle w:val="aa"/>
              <w:rPr>
                <w:rFonts w:ascii="Times New Roman" w:hAnsi="Times New Roman" w:cs="Times New Roman"/>
                <w:noProof/>
                <w:lang w:val="en-US"/>
              </w:rPr>
            </w:pPr>
            <w:r w:rsidRPr="00FB0C49">
              <w:rPr>
                <w:rFonts w:ascii="Times New Roman" w:hAnsi="Times New Roman" w:cs="Times New Roman"/>
                <w:noProof/>
                <w:sz w:val="24"/>
              </w:rPr>
              <w:t xml:space="preserve">Версия </w:t>
            </w:r>
            <w:r>
              <w:rPr>
                <w:rFonts w:ascii="Times New Roman" w:hAnsi="Times New Roman" w:cs="Times New Roman"/>
                <w:noProof/>
                <w:sz w:val="24"/>
              </w:rPr>
              <w:t>2022.2</w:t>
            </w:r>
          </w:p>
        </w:tc>
      </w:tr>
      <w:tr w:rsidR="00D71846" w:rsidRPr="00FB0C49" w:rsidTr="00EB052D">
        <w:trPr>
          <w:trHeight w:val="4394"/>
        </w:trPr>
        <w:tc>
          <w:tcPr>
            <w:tcW w:w="9355" w:type="dxa"/>
            <w:vAlign w:val="bottom"/>
          </w:tcPr>
          <w:p w:rsidR="00D71846" w:rsidRPr="00FB0C49" w:rsidRDefault="00D15CA1" w:rsidP="00D46452">
            <w:pPr>
              <w:pStyle w:val="aa"/>
              <w:rPr>
                <w:rFonts w:ascii="Times New Roman" w:hAnsi="Times New Roman" w:cs="Times New Roman"/>
                <w:noProof/>
                <w:sz w:val="24"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t>Москва</w:t>
            </w:r>
          </w:p>
          <w:p w:rsidR="00D71846" w:rsidRPr="00FB0C49" w:rsidRDefault="00D15CA1" w:rsidP="00D46452">
            <w:pPr>
              <w:pStyle w:val="aa"/>
              <w:rPr>
                <w:rFonts w:ascii="Times New Roman" w:hAnsi="Times New Roman" w:cs="Times New Roman"/>
                <w:noProof/>
              </w:rPr>
            </w:pPr>
            <w:r>
              <w:rPr>
                <w:rFonts w:ascii="Times New Roman" w:hAnsi="Times New Roman" w:cs="Times New Roman"/>
                <w:noProof/>
                <w:sz w:val="24"/>
              </w:rPr>
              <w:t>2022</w:t>
            </w:r>
          </w:p>
        </w:tc>
      </w:tr>
    </w:tbl>
    <w:p w:rsidR="00D15CA1" w:rsidRDefault="00D15CA1" w:rsidP="00D15CA1">
      <w:pPr>
        <w:pStyle w:val="1"/>
        <w:keepNext/>
        <w:pageBreakBefore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before="240" w:after="240" w:line="276" w:lineRule="auto"/>
        <w:jc w:val="left"/>
        <w:rPr>
          <w:rFonts w:eastAsiaTheme="majorEastAsia"/>
          <w:bCs/>
          <w:color w:val="auto"/>
          <w:sz w:val="28"/>
          <w:szCs w:val="28"/>
          <w:lang w:eastAsia="en-US"/>
        </w:rPr>
      </w:pPr>
      <w:r w:rsidRPr="00D15CA1">
        <w:rPr>
          <w:rFonts w:eastAsiaTheme="majorEastAsia"/>
          <w:bCs/>
          <w:color w:val="auto"/>
          <w:sz w:val="28"/>
          <w:szCs w:val="28"/>
          <w:lang w:eastAsia="en-US"/>
        </w:rPr>
        <w:lastRenderedPageBreak/>
        <w:t xml:space="preserve"> Термины и определения</w:t>
      </w:r>
    </w:p>
    <w:p w:rsidR="00D15CA1" w:rsidRDefault="00D15CA1" w:rsidP="00D15CA1">
      <w:pPr>
        <w:rPr>
          <w:rFonts w:ascii="Times New Roman" w:hAnsi="Times New Roman" w:cs="Times New Roman"/>
          <w:sz w:val="24"/>
          <w:szCs w:val="24"/>
        </w:rPr>
      </w:pPr>
      <w:r w:rsidRPr="00D15CA1">
        <w:rPr>
          <w:rFonts w:ascii="Times New Roman" w:hAnsi="Times New Roman" w:cs="Times New Roman"/>
          <w:sz w:val="24"/>
          <w:szCs w:val="24"/>
        </w:rPr>
        <w:t>Таблица 1 – Термины и определения</w:t>
      </w:r>
    </w:p>
    <w:tbl>
      <w:tblPr>
        <w:tblStyle w:val="12"/>
        <w:tblW w:w="9771" w:type="dxa"/>
        <w:tblInd w:w="5" w:type="dxa"/>
        <w:tblLayout w:type="fixed"/>
        <w:tblLook w:val="04A0" w:firstRow="1" w:lastRow="0" w:firstColumn="1" w:lastColumn="0" w:noHBand="0" w:noVBand="1"/>
      </w:tblPr>
      <w:tblGrid>
        <w:gridCol w:w="2117"/>
        <w:gridCol w:w="7654"/>
      </w:tblGrid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pStyle w:val="a6"/>
              <w:rPr>
                <w:rFonts w:cs="Times New Roman"/>
                <w:b/>
              </w:rPr>
            </w:pPr>
            <w:r w:rsidRPr="002F49AF">
              <w:rPr>
                <w:rFonts w:cs="Times New Roman"/>
                <w:b/>
              </w:rPr>
              <w:t>Термин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pStyle w:val="a6"/>
              <w:rPr>
                <w:rFonts w:cs="Times New Roman"/>
                <w:b/>
              </w:rPr>
            </w:pPr>
            <w:r w:rsidRPr="002F49AF">
              <w:rPr>
                <w:rFonts w:cs="Times New Roman"/>
                <w:b/>
              </w:rPr>
              <w:t>Определение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  <w:lang w:val="en-US"/>
              </w:rPr>
              <w:t>PAM</w:t>
            </w:r>
            <w:r w:rsidRPr="002F49AF">
              <w:rPr>
                <w:rFonts w:ascii="Times New Roman" w:hAnsi="Times New Roman"/>
                <w:sz w:val="24"/>
                <w:szCs w:val="24"/>
              </w:rPr>
              <w:t>-фраза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  <w:lang w:val="en-US"/>
              </w:rPr>
              <w:t>PAM</w:t>
            </w:r>
            <w:r w:rsidRPr="002F49AF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2F49AF">
              <w:rPr>
                <w:rFonts w:ascii="Times New Roman" w:hAnsi="Times New Roman"/>
                <w:sz w:val="24"/>
                <w:szCs w:val="24"/>
                <w:lang w:val="en-US"/>
              </w:rPr>
              <w:t>Personal</w:t>
            </w:r>
            <w:r w:rsidRPr="002F49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49AF">
              <w:rPr>
                <w:rFonts w:ascii="Times New Roman" w:hAnsi="Times New Roman"/>
                <w:sz w:val="24"/>
                <w:szCs w:val="24"/>
                <w:lang w:val="en-US"/>
              </w:rPr>
              <w:t>Assurance</w:t>
            </w:r>
            <w:r w:rsidRPr="002F49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49AF">
              <w:rPr>
                <w:rFonts w:ascii="Times New Roman" w:hAnsi="Times New Roman"/>
                <w:sz w:val="24"/>
                <w:szCs w:val="24"/>
                <w:lang w:val="en-US"/>
              </w:rPr>
              <w:t>Message</w:t>
            </w:r>
            <w:r w:rsidRPr="002F49AF">
              <w:rPr>
                <w:rFonts w:ascii="Times New Roman" w:hAnsi="Times New Roman"/>
                <w:sz w:val="24"/>
                <w:szCs w:val="24"/>
              </w:rPr>
              <w:t>) – фраза, сформированная на основе ФИО физического лица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F49AF">
              <w:rPr>
                <w:rFonts w:ascii="Times New Roman" w:hAnsi="Times New Roman"/>
                <w:sz w:val="24"/>
                <w:szCs w:val="24"/>
                <w:lang w:val="en-US"/>
              </w:rPr>
              <w:t>Fingerprint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  <w:lang w:val="en-US"/>
              </w:rPr>
              <w:t>Fingerprint</w:t>
            </w:r>
            <w:r w:rsidRPr="002F49AF">
              <w:rPr>
                <w:rFonts w:ascii="Times New Roman" w:hAnsi="Times New Roman"/>
                <w:sz w:val="24"/>
                <w:szCs w:val="24"/>
              </w:rPr>
              <w:t xml:space="preserve"> (цифровой отпечаток) – уникальный цифровой отпечаток, позволяющий идентифицировать устройство Клиента с установленным Приложением Клиента при инициации проведения операций с ЦР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Выпуск ЦР в обращение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 xml:space="preserve">Операция, в результате которой некоторый объем ЦР становится доступен для обращения на Платформе ЦР путем перевода ЦР с эмиссионного кошелька на кошелек Участника </w:t>
            </w:r>
            <w:r w:rsidR="00C40CAE">
              <w:rPr>
                <w:rFonts w:ascii="Times New Roman" w:hAnsi="Times New Roman"/>
                <w:sz w:val="24"/>
                <w:szCs w:val="24"/>
              </w:rPr>
              <w:t>ПлЦР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Заявка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 xml:space="preserve">ЭС, направляемое Участником </w:t>
            </w:r>
            <w:r w:rsidR="00C40CAE">
              <w:rPr>
                <w:rFonts w:ascii="Times New Roman" w:hAnsi="Times New Roman"/>
                <w:sz w:val="24"/>
                <w:szCs w:val="24"/>
              </w:rPr>
              <w:t>ПлЦР</w:t>
            </w:r>
            <w:r w:rsidRPr="002F49AF">
              <w:rPr>
                <w:rFonts w:ascii="Times New Roman" w:hAnsi="Times New Roman"/>
                <w:sz w:val="24"/>
                <w:szCs w:val="24"/>
              </w:rPr>
              <w:t xml:space="preserve"> в Систему ЦР с целью выполнения операции над объектами Системы ЦР, изменение которых недоступно данному Участнику </w:t>
            </w:r>
            <w:r w:rsidR="00C40CAE">
              <w:rPr>
                <w:rFonts w:ascii="Times New Roman" w:hAnsi="Times New Roman"/>
                <w:sz w:val="24"/>
                <w:szCs w:val="24"/>
              </w:rPr>
              <w:t>ПлЦР</w:t>
            </w:r>
            <w:r w:rsidRPr="002F49AF">
              <w:rPr>
                <w:rFonts w:ascii="Times New Roman" w:hAnsi="Times New Roman"/>
                <w:sz w:val="24"/>
                <w:szCs w:val="24"/>
              </w:rPr>
              <w:t xml:space="preserve"> в соответствии с его ролью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Изъятие ЦР из обращения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 xml:space="preserve">Операция, обратная по отношению к выпуску ЦР в обращение, в результате которой некоторый объем ЦР перестает быть доступным для обращения на Платформе ЦР путем перевода ЦР с кошелька Участника </w:t>
            </w:r>
            <w:r w:rsidR="00C40CAE">
              <w:rPr>
                <w:rFonts w:ascii="Times New Roman" w:hAnsi="Times New Roman"/>
                <w:sz w:val="24"/>
                <w:szCs w:val="24"/>
              </w:rPr>
              <w:t>ПлЦР</w:t>
            </w:r>
            <w:r w:rsidRPr="002F49AF">
              <w:rPr>
                <w:rFonts w:ascii="Times New Roman" w:hAnsi="Times New Roman"/>
                <w:sz w:val="24"/>
                <w:szCs w:val="24"/>
              </w:rPr>
              <w:t xml:space="preserve"> на эмиссионный кошелек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Информационный сервис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 xml:space="preserve">Комплекс программно-аппаратных средств, используемых Субъектом </w:t>
            </w:r>
            <w:r w:rsidR="00C40CAE">
              <w:rPr>
                <w:rFonts w:ascii="Times New Roman" w:hAnsi="Times New Roman"/>
                <w:sz w:val="24"/>
                <w:szCs w:val="24"/>
              </w:rPr>
              <w:t>ПлЦР</w:t>
            </w:r>
            <w:r w:rsidRPr="002F49AF">
              <w:rPr>
                <w:rFonts w:ascii="Times New Roman" w:hAnsi="Times New Roman"/>
                <w:sz w:val="24"/>
                <w:szCs w:val="24"/>
              </w:rPr>
              <w:t xml:space="preserve"> для работы с ЦР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Клиент,</w:t>
            </w:r>
          </w:p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Пользователь П</w:t>
            </w:r>
            <w:r w:rsidR="00101A66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л</w:t>
            </w: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ЦР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sz w:val="24"/>
                <w:szCs w:val="24"/>
              </w:rPr>
              <w:t>Пользователи Платформы ЦР - физические лица, юридические лица, индивидуальные предприниматели, нотариусы, занимающиеся частной практикой, адвокаты, учредившие адвокатские кабинеты, медиаторы, арбитражные управляющие, оценщики, патентные поверенные и иные лица, занимающиеся в установленном законодательством Российской Федерации порядке частной практикой, физические лица, применяющие специальный налоговый режим «Налог на профессиональный доход»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Контур Контроля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Подсистема (компонент), реализующая прием ЭС, их проверку, помещение в архивы АС и передачу в контур обработки, а также прием сформированных в контуре обработки ЭС, контроль результатов обработки, проверку и отправку сформированных в контуре обработки ЭС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Контур Обработки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bCs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Подсистема (компонент), реализующая прием ЭС из контура контроля, их проверку, обработку защищаемой информации, содержащейся в ЭС, а также формирование ЭС, содержащих результат обработки защищаемой информации, и передачу ЭС, сформированных по результатам обработки в контур контроля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Кошелек 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Запись в информационной системе Платформы ЦР с информацией об уникальном идентификаторе и сумме учитываемых цифровых рублей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 xml:space="preserve">Модель </w:t>
            </w:r>
            <w:r w:rsidRPr="002F49AF"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Розничная двухуровневая децентрализованная модель Системы ЦР, в которой операции по кошелькам Клиентов выполняются Кредитными организациями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Онлайн-кошелёк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Цифровой к</w:t>
            </w:r>
            <w:r w:rsidRPr="002F49AF">
              <w:rPr>
                <w:rFonts w:ascii="Times New Roman" w:hAnsi="Times New Roman"/>
                <w:sz w:val="24"/>
                <w:szCs w:val="24"/>
              </w:rPr>
              <w:t>ошелёк, операции по которому проводятся онлайн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Операционный день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Операционным днем Платформы ЦР считается календарный день с 00:00 до 23.59 по московскому времени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Офлайн-кошелек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Программно-аппаратный комплекс, обеспечивающий хранение ЦР (для офлайн расчётов), и позволяющий проводить операции офлайн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 xml:space="preserve">Приложение Клиента, </w:t>
            </w:r>
          </w:p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ДБО ФП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Программное обеспечение для мобильного устройства, используемого Клиентом (ФЛ/ФЛ-СЗ/ЮЛ), персонального компьютера, используемого Клиентом (ЮЛ), предоставляемое Финансовым посредником Клиенту для осуществления операций с ЦР 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Платформа РР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Конкретная реализация технологии распределенных реестров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Платформа ЦР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pStyle w:val="ac"/>
              <w:rPr>
                <w:szCs w:val="24"/>
              </w:rPr>
            </w:pPr>
            <w:r w:rsidRPr="002F49AF">
              <w:rPr>
                <w:szCs w:val="24"/>
              </w:rPr>
              <w:t xml:space="preserve">Информационная система, посредством которой взаимодействуют Оператор, Участники </w:t>
            </w:r>
            <w:r w:rsidR="00C40CAE">
              <w:rPr>
                <w:szCs w:val="24"/>
              </w:rPr>
              <w:t>ПлЦР</w:t>
            </w:r>
            <w:r w:rsidRPr="002F49AF">
              <w:rPr>
                <w:szCs w:val="24"/>
              </w:rPr>
              <w:t xml:space="preserve"> и Клиенты в соответствии с Правилами платформы цифрового рубля</w:t>
            </w:r>
          </w:p>
        </w:tc>
      </w:tr>
      <w:tr w:rsidR="001F3B40" w:rsidRPr="002F49AF" w:rsidTr="002F49AF">
        <w:tc>
          <w:tcPr>
            <w:tcW w:w="2117" w:type="dxa"/>
          </w:tcPr>
          <w:p w:rsidR="001F3B40" w:rsidRPr="002F49AF" w:rsidRDefault="001F3B40" w:rsidP="001F3B40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Программный модуль Банка России</w:t>
            </w:r>
          </w:p>
        </w:tc>
        <w:tc>
          <w:tcPr>
            <w:tcW w:w="7654" w:type="dxa"/>
          </w:tcPr>
          <w:p w:rsidR="001F3B40" w:rsidRPr="002F49AF" w:rsidRDefault="001F3B40" w:rsidP="001F3B40">
            <w:pPr>
              <w:pStyle w:val="ac"/>
              <w:rPr>
                <w:szCs w:val="24"/>
              </w:rPr>
            </w:pPr>
            <w:r w:rsidRPr="004D2AAA">
              <w:rPr>
                <w:szCs w:val="24"/>
              </w:rPr>
              <w:t xml:space="preserve">Программное обеспечение, встраиваемое в </w:t>
            </w:r>
            <w:r>
              <w:rPr>
                <w:szCs w:val="24"/>
              </w:rPr>
              <w:t xml:space="preserve">Приложение Клиента, имеющее в своем </w:t>
            </w:r>
            <w:r w:rsidRPr="004D2AAA">
              <w:rPr>
                <w:szCs w:val="24"/>
              </w:rPr>
              <w:t>составе встроенное сертифицированно</w:t>
            </w:r>
            <w:r>
              <w:rPr>
                <w:szCs w:val="24"/>
              </w:rPr>
              <w:t xml:space="preserve">е СКЗИ для осуществления </w:t>
            </w:r>
            <w:r w:rsidRPr="004D2AAA">
              <w:rPr>
                <w:szCs w:val="24"/>
              </w:rPr>
              <w:t>к</w:t>
            </w:r>
            <w:r>
              <w:rPr>
                <w:szCs w:val="24"/>
              </w:rPr>
              <w:t>риптографических преобразований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Del="00C679B6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Распоряжение о переводе ЦР</w:t>
            </w:r>
          </w:p>
        </w:tc>
        <w:tc>
          <w:tcPr>
            <w:tcW w:w="7654" w:type="dxa"/>
          </w:tcPr>
          <w:p w:rsidR="002F49AF" w:rsidRPr="002F49AF" w:rsidDel="00C679B6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 xml:space="preserve">Распоряжение владельца цифрового кошелька, составляемого, удостоверяемого и передаваемого Участнику </w:t>
            </w:r>
            <w:r w:rsidR="00C40CAE">
              <w:rPr>
                <w:rFonts w:ascii="Times New Roman" w:hAnsi="Times New Roman"/>
                <w:sz w:val="24"/>
                <w:szCs w:val="24"/>
              </w:rPr>
              <w:t>ПлЦР</w:t>
            </w:r>
            <w:r w:rsidRPr="002F49AF">
              <w:rPr>
                <w:rFonts w:ascii="Times New Roman" w:hAnsi="Times New Roman"/>
                <w:sz w:val="24"/>
                <w:szCs w:val="24"/>
              </w:rPr>
              <w:t xml:space="preserve"> в соответствии с Правилами платформы цифрового рубля, или распоряжение получателя средств, Участника </w:t>
            </w:r>
            <w:r w:rsidR="00C40CAE">
              <w:rPr>
                <w:rFonts w:ascii="Times New Roman" w:hAnsi="Times New Roman"/>
                <w:sz w:val="24"/>
                <w:szCs w:val="24"/>
              </w:rPr>
              <w:t>ПлЦР</w:t>
            </w:r>
            <w:r w:rsidRPr="002F49AF">
              <w:rPr>
                <w:rFonts w:ascii="Times New Roman" w:hAnsi="Times New Roman"/>
                <w:sz w:val="24"/>
                <w:szCs w:val="24"/>
              </w:rPr>
              <w:t>, составленное от имени получателя средств или взыскателя в соответствии с законодательством Российской Федерации и Правилами платформы цифрового рубля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Распределенный реестр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 xml:space="preserve">База данных, идентичные экземпляры которой распределены между Узлами </w:t>
            </w:r>
            <w:r w:rsidR="00C40CAE">
              <w:rPr>
                <w:rFonts w:ascii="Times New Roman" w:hAnsi="Times New Roman"/>
                <w:sz w:val="24"/>
                <w:szCs w:val="24"/>
              </w:rPr>
              <w:t>ПлЦР</w:t>
            </w:r>
            <w:r w:rsidRPr="002F49AF">
              <w:rPr>
                <w:rFonts w:ascii="Times New Roman" w:hAnsi="Times New Roman"/>
                <w:sz w:val="24"/>
                <w:szCs w:val="24"/>
              </w:rPr>
              <w:t>, изменения в которую вносятся с использованием протокола консенсуса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Реестр клиентов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Э</w:t>
            </w: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лемент Платформы ЦР, содержащий информацию о Клиентах, зарегистрированных на Платформе ЦР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 xml:space="preserve">Реестр участников </w:t>
            </w:r>
            <w:r w:rsidR="00C40CAE">
              <w:rPr>
                <w:rFonts w:ascii="Times New Roman" w:hAnsi="Times New Roman"/>
                <w:sz w:val="24"/>
                <w:szCs w:val="24"/>
              </w:rPr>
              <w:t>ПлЦР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Э</w:t>
            </w: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лемент Платформы ЦР, содержащий информацию об Участниках </w:t>
            </w:r>
            <w:r w:rsidR="00C40C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ПлЦР</w:t>
            </w: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2F49AF">
              <w:rPr>
                <w:rFonts w:ascii="Times New Roman" w:hAnsi="Times New Roman"/>
                <w:sz w:val="24"/>
                <w:szCs w:val="24"/>
              </w:rPr>
              <w:t>открывших кошелек на Платформе ЦР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Самоисполняемая сделка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Юридически значимый компьютерный алгоритм, полностью или частично автоматизирующий одно или несколько положений сделки, в</w:t>
            </w:r>
            <w:r w:rsidRPr="002F49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F49AF">
              <w:rPr>
                <w:rFonts w:ascii="Times New Roman" w:hAnsi="Times New Roman"/>
                <w:sz w:val="24"/>
                <w:szCs w:val="24"/>
              </w:rPr>
              <w:lastRenderedPageBreak/>
              <w:t>рамках которой предполагается перевод ЦР. Самоисполняемые сделки реализуются с помощью смарт-контрактов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Серия ЦР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Набор ЦР, которому в момент создания присвоен специализированный идентификатор (один идентификатор для всего объема, создаваемого в рамках одного распоряжения на создание ЦР)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Система ДБО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Система дистанционного банковского обслуживания кредитной организации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Система ЦР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Совокупность услуг, ИТ-систем Участников </w:t>
            </w:r>
            <w:r w:rsidR="00C40CA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ПлЦР</w:t>
            </w: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Клиентов, Оператора, РОРД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Смарт-контракт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Набор функций и данных, хранящихся и выполняемых на Платформе ЦР</w:t>
            </w:r>
          </w:p>
        </w:tc>
      </w:tr>
      <w:tr w:rsidR="002F49AF" w:rsidRPr="002F49AF" w:rsidTr="002F49AF">
        <w:tc>
          <w:tcPr>
            <w:tcW w:w="2117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Создание ЦР</w:t>
            </w:r>
          </w:p>
        </w:tc>
        <w:tc>
          <w:tcPr>
            <w:tcW w:w="7654" w:type="dxa"/>
          </w:tcPr>
          <w:p w:rsidR="002F49AF" w:rsidRPr="002F49AF" w:rsidRDefault="002F49AF" w:rsidP="00CC6342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Операция, в результате которой происходит техническое создание (генерация) необходимого объема ЦР на эмиссионном кошельке</w:t>
            </w:r>
          </w:p>
        </w:tc>
      </w:tr>
      <w:tr w:rsidR="00C953D4" w:rsidRPr="002F49AF" w:rsidTr="002F49AF">
        <w:tc>
          <w:tcPr>
            <w:tcW w:w="2117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Субъект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ПлЦР</w:t>
            </w:r>
          </w:p>
        </w:tc>
        <w:tc>
          <w:tcPr>
            <w:tcW w:w="7654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Оператор, Участник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ПлЦР</w:t>
            </w: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РОРД, Клиент (ФЛ/ЮЛ - Пользователи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ПлЦР</w:t>
            </w: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)</w:t>
            </w:r>
          </w:p>
        </w:tc>
      </w:tr>
      <w:tr w:rsidR="00C953D4" w:rsidRPr="002F49AF" w:rsidTr="002F49AF">
        <w:tc>
          <w:tcPr>
            <w:tcW w:w="2117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Транзакция</w:t>
            </w:r>
          </w:p>
        </w:tc>
        <w:tc>
          <w:tcPr>
            <w:tcW w:w="7654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Набор данных содержащие информацию о конкретной операции с ЦР по кошельку Клиента/Участника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ПлЦР</w:t>
            </w:r>
          </w:p>
        </w:tc>
      </w:tr>
      <w:tr w:rsidR="00C953D4" w:rsidRPr="002F49AF" w:rsidTr="002F49AF">
        <w:tc>
          <w:tcPr>
            <w:tcW w:w="2117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Узел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ПлЦР</w:t>
            </w:r>
          </w:p>
        </w:tc>
        <w:tc>
          <w:tcPr>
            <w:tcW w:w="7654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Совокупность технических и программных средств Платформы ЦР, установленных у Субъекта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ПлЦР</w:t>
            </w: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обеспечивающих работоспособность бизнес-процессов в соответствии с ролью Субъекта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ПлЦР</w:t>
            </w: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(РОРД, Оператор)</w:t>
            </w:r>
          </w:p>
        </w:tc>
      </w:tr>
      <w:tr w:rsidR="00C953D4" w:rsidRPr="002F49AF" w:rsidTr="002F49AF">
        <w:tc>
          <w:tcPr>
            <w:tcW w:w="2117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Уничтожение ЦР</w:t>
            </w:r>
          </w:p>
        </w:tc>
        <w:tc>
          <w:tcPr>
            <w:tcW w:w="7654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Операция, в результате которой происходит техническое уничтожение необходимого объема ЦР на Платформе ЦР путём списания необходимого объема ЦР с эмиссионного кошелька</w:t>
            </w:r>
          </w:p>
        </w:tc>
      </w:tr>
      <w:tr w:rsidR="00C953D4" w:rsidRPr="002F49AF" w:rsidTr="002F49AF">
        <w:tc>
          <w:tcPr>
            <w:tcW w:w="2117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Участник </w:t>
            </w:r>
            <w:r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ПлЦР</w:t>
            </w: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654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Клиент Банка России (кредитная организация, некредитная финансовая организация) или Подразделение Банка России, предоставляющий доступ к сервисам Платформы ЦР своим Клиентам, либо использующий сервисы Платформы ЦР для выполнения операций с ЦР</w:t>
            </w:r>
          </w:p>
        </w:tc>
      </w:tr>
      <w:tr w:rsidR="00C953D4" w:rsidRPr="002F49AF" w:rsidTr="002F49AF">
        <w:tc>
          <w:tcPr>
            <w:tcW w:w="2117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C953D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Централизованная компонента платежной системы Банка России</w:t>
            </w:r>
            <w:r w:rsidRPr="00C953D4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; ПС БР</w:t>
            </w:r>
          </w:p>
        </w:tc>
        <w:tc>
          <w:tcPr>
            <w:tcW w:w="7654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953D4">
              <w:rPr>
                <w:rFonts w:ascii="Times New Roman" w:hAnsi="Times New Roman"/>
                <w:sz w:val="24"/>
                <w:szCs w:val="24"/>
              </w:rPr>
              <w:t>Автоматизированная система, предназначенная для автоматизации расчетов и создания общей информационной среды для функционального взаимодействия всех банковских субъектов (ПБР, коммерческих банков и их филиалов, некредитных организаций и других клиентов Банка России)</w:t>
            </w:r>
          </w:p>
        </w:tc>
      </w:tr>
      <w:tr w:rsidR="00C953D4" w:rsidRPr="002F49AF" w:rsidTr="002F49AF">
        <w:tc>
          <w:tcPr>
            <w:tcW w:w="2117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Электронное сообщение</w:t>
            </w:r>
          </w:p>
        </w:tc>
        <w:tc>
          <w:tcPr>
            <w:tcW w:w="7654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Совокупность информации, имеющая криптографическую защиту и передаваемая или получаемая Субъектами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ПлЦР</w:t>
            </w: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 Систему ЦР (из Системы ЦР) при выполнении бизнес-процессов Системы ЦР</w:t>
            </w:r>
          </w:p>
        </w:tc>
      </w:tr>
      <w:tr w:rsidR="00C953D4" w:rsidRPr="002F49AF" w:rsidTr="002F49AF">
        <w:tc>
          <w:tcPr>
            <w:tcW w:w="2117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lastRenderedPageBreak/>
              <w:t>Эмиссионный кошелек</w:t>
            </w:r>
          </w:p>
        </w:tc>
        <w:tc>
          <w:tcPr>
            <w:tcW w:w="7654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Кошелек, открытый на Платформе ЦР для учета эмитируемых ЦР</w:t>
            </w:r>
          </w:p>
        </w:tc>
      </w:tr>
      <w:tr w:rsidR="00C953D4" w:rsidRPr="002F49AF" w:rsidTr="002F49AF">
        <w:tc>
          <w:tcPr>
            <w:tcW w:w="2117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Эталонная база входящих/исходящих сообщений</w:t>
            </w:r>
          </w:p>
        </w:tc>
        <w:tc>
          <w:tcPr>
            <w:tcW w:w="7654" w:type="dxa"/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sz w:val="24"/>
                <w:szCs w:val="24"/>
              </w:rPr>
              <w:t>Оперативный электронный архив ЭС, снабженных ЭП, используемый в контуре контроля для целей контроля результатов обработки защищаемой информации, выполняемой в контуре обработки</w:t>
            </w:r>
          </w:p>
        </w:tc>
      </w:tr>
      <w:tr w:rsidR="00C953D4" w:rsidRPr="002F49AF" w:rsidTr="002F49AF">
        <w:tc>
          <w:tcPr>
            <w:tcW w:w="2117" w:type="dxa"/>
            <w:tcBorders>
              <w:bottom w:val="single" w:sz="4" w:space="0" w:color="auto"/>
            </w:tcBorders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 xml:space="preserve">Эталон Распоряжения 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:rsidR="00C953D4" w:rsidRPr="002F49AF" w:rsidRDefault="00C953D4" w:rsidP="00C953D4">
            <w:pPr>
              <w:suppressAutoHyphens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ЭС, составленное РОРД на основании Заявки и содержащее шаблон Распоряжения, которое направляется Клиенту (через Приложение Клиента, ДБО ФП) или ФП (по операциям ФП) для подтверждения операции</w:t>
            </w:r>
          </w:p>
        </w:tc>
      </w:tr>
      <w:tr w:rsidR="00C953D4" w:rsidRPr="00D651F6" w:rsidTr="002F49AF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8" w:space="0" w:color="auto"/>
          </w:tblBorders>
          <w:tblCellMar>
            <w:top w:w="28" w:type="dxa"/>
            <w:left w:w="57" w:type="dxa"/>
            <w:bottom w:w="28" w:type="dxa"/>
            <w:right w:w="57" w:type="dxa"/>
          </w:tblCellMar>
        </w:tblPrEx>
        <w:trPr>
          <w:cantSplit/>
        </w:trPr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D4" w:rsidRPr="00D651F6" w:rsidRDefault="00C953D4" w:rsidP="00C953D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 w:rsidRPr="00D651F6"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Транзакци</w:t>
            </w: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онное сообщение (дайджест) РР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53D4" w:rsidRPr="00D651F6" w:rsidRDefault="00C953D4" w:rsidP="00C953D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D651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Набор данных, записываемых в РР, содержащи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х</w:t>
            </w:r>
            <w:r w:rsidRPr="00D651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информацию об операци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и</w:t>
            </w:r>
            <w:r w:rsidRPr="00D651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по кошельку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Субъекта</w:t>
            </w:r>
            <w:r w:rsidRPr="00D651F6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ПлЦР</w:t>
            </w:r>
          </w:p>
        </w:tc>
      </w:tr>
      <w:tr w:rsidR="00C953D4" w:rsidRPr="00D651F6" w:rsidTr="002F49AF">
        <w:tc>
          <w:tcPr>
            <w:tcW w:w="2117" w:type="dxa"/>
            <w:tcBorders>
              <w:top w:val="single" w:sz="4" w:space="0" w:color="auto"/>
            </w:tcBorders>
          </w:tcPr>
          <w:p w:rsidR="00C953D4" w:rsidRPr="00D651F6" w:rsidRDefault="00C953D4" w:rsidP="00C953D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Эмитент</w:t>
            </w:r>
          </w:p>
        </w:tc>
        <w:tc>
          <w:tcPr>
            <w:tcW w:w="7654" w:type="dxa"/>
            <w:tcBorders>
              <w:top w:val="single" w:sz="4" w:space="0" w:color="auto"/>
            </w:tcBorders>
          </w:tcPr>
          <w:p w:rsidR="00C953D4" w:rsidRPr="00D651F6" w:rsidRDefault="00C953D4" w:rsidP="00C953D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Программный комплекс на ПлЦР,  который предназначен для исполнения эмиссионных операций Субъектом ПлЦР с ролью Оператор</w:t>
            </w:r>
          </w:p>
        </w:tc>
      </w:tr>
      <w:tr w:rsidR="00C953D4" w:rsidRPr="00D651F6" w:rsidTr="002F49AF">
        <w:tc>
          <w:tcPr>
            <w:tcW w:w="2117" w:type="dxa"/>
          </w:tcPr>
          <w:p w:rsidR="00C953D4" w:rsidRPr="00D651F6" w:rsidRDefault="00C953D4" w:rsidP="00C953D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 w:themeColor="text1"/>
                <w:sz w:val="24"/>
                <w:szCs w:val="24"/>
              </w:rPr>
              <w:t>Оператор</w:t>
            </w:r>
          </w:p>
        </w:tc>
        <w:tc>
          <w:tcPr>
            <w:tcW w:w="7654" w:type="dxa"/>
          </w:tcPr>
          <w:p w:rsidR="00C953D4" w:rsidRPr="00D651F6" w:rsidRDefault="00C953D4" w:rsidP="00C953D4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Программный комплекс на ПлЦР,  который предназначен для  исполнения Субъектом ПлЦР с ролью Оператор функций </w:t>
            </w:r>
            <w:r w:rsidRPr="00DF4260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регистрации Участников ПлЦР, управления статусом кошелька Субъекта ПлЦР, управление лимитами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функций. </w:t>
            </w:r>
          </w:p>
        </w:tc>
      </w:tr>
    </w:tbl>
    <w:p w:rsidR="00D15CA1" w:rsidRPr="00D15CA1" w:rsidRDefault="00D15CA1" w:rsidP="00D15CA1">
      <w:pPr>
        <w:pStyle w:val="1"/>
        <w:keepNext/>
        <w:pageBreakBefore w:val="0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auto"/>
        <w:spacing w:before="240" w:after="240" w:line="276" w:lineRule="auto"/>
        <w:jc w:val="left"/>
        <w:rPr>
          <w:rFonts w:eastAsiaTheme="majorEastAsia"/>
          <w:bCs/>
          <w:color w:val="auto"/>
          <w:sz w:val="28"/>
          <w:szCs w:val="28"/>
          <w:lang w:eastAsia="en-US"/>
        </w:rPr>
      </w:pPr>
      <w:bookmarkStart w:id="1" w:name="_Toc72932606"/>
      <w:bookmarkStart w:id="2" w:name="_Toc73475846"/>
      <w:bookmarkStart w:id="3" w:name="_Toc78825660"/>
      <w:bookmarkStart w:id="4" w:name="_Toc75359177"/>
      <w:bookmarkStart w:id="5" w:name="_Toc89441977"/>
      <w:bookmarkStart w:id="6" w:name="_Toc80130793"/>
      <w:r w:rsidRPr="00D15CA1">
        <w:rPr>
          <w:rFonts w:eastAsiaTheme="majorEastAsia"/>
          <w:bCs/>
          <w:color w:val="auto"/>
          <w:sz w:val="28"/>
          <w:szCs w:val="28"/>
          <w:lang w:eastAsia="en-US"/>
        </w:rPr>
        <w:t>Аббревиатуры и сокращения</w:t>
      </w:r>
      <w:bookmarkEnd w:id="1"/>
      <w:bookmarkEnd w:id="2"/>
      <w:bookmarkEnd w:id="3"/>
      <w:bookmarkEnd w:id="4"/>
      <w:bookmarkEnd w:id="5"/>
      <w:bookmarkEnd w:id="6"/>
    </w:p>
    <w:p w:rsidR="00D15CA1" w:rsidRDefault="00D15CA1" w:rsidP="00D15CA1">
      <w:pPr>
        <w:rPr>
          <w:rFonts w:ascii="Times New Roman" w:hAnsi="Times New Roman" w:cs="Times New Roman"/>
          <w:sz w:val="24"/>
          <w:szCs w:val="24"/>
        </w:rPr>
      </w:pPr>
      <w:r w:rsidRPr="00D15CA1">
        <w:rPr>
          <w:rFonts w:ascii="Times New Roman" w:hAnsi="Times New Roman" w:cs="Times New Roman"/>
          <w:sz w:val="24"/>
          <w:szCs w:val="24"/>
        </w:rPr>
        <w:t xml:space="preserve">Таблица </w:t>
      </w:r>
      <w:r w:rsidRPr="00D15CA1">
        <w:rPr>
          <w:rFonts w:ascii="Times New Roman" w:hAnsi="Times New Roman" w:cs="Times New Roman"/>
          <w:sz w:val="24"/>
          <w:szCs w:val="24"/>
        </w:rPr>
        <w:fldChar w:fldCharType="begin"/>
      </w:r>
      <w:r w:rsidRPr="00D15CA1">
        <w:rPr>
          <w:rFonts w:ascii="Times New Roman" w:hAnsi="Times New Roman" w:cs="Times New Roman"/>
          <w:sz w:val="24"/>
          <w:szCs w:val="24"/>
        </w:rPr>
        <w:instrText xml:space="preserve"> SEQ Таблица \* ARABIC </w:instrText>
      </w:r>
      <w:r w:rsidRPr="00D15CA1">
        <w:rPr>
          <w:rFonts w:ascii="Times New Roman" w:hAnsi="Times New Roman" w:cs="Times New Roman"/>
          <w:sz w:val="24"/>
          <w:szCs w:val="24"/>
        </w:rPr>
        <w:fldChar w:fldCharType="separate"/>
      </w:r>
      <w:r w:rsidRPr="00D15CA1">
        <w:rPr>
          <w:rFonts w:ascii="Times New Roman" w:hAnsi="Times New Roman" w:cs="Times New Roman"/>
          <w:sz w:val="24"/>
          <w:szCs w:val="24"/>
        </w:rPr>
        <w:t>2</w:t>
      </w:r>
      <w:r w:rsidRPr="00D15CA1">
        <w:rPr>
          <w:rFonts w:ascii="Times New Roman" w:hAnsi="Times New Roman" w:cs="Times New Roman"/>
          <w:sz w:val="24"/>
          <w:szCs w:val="24"/>
        </w:rPr>
        <w:fldChar w:fldCharType="end"/>
      </w:r>
      <w:r w:rsidRPr="00D15CA1">
        <w:rPr>
          <w:rFonts w:ascii="Times New Roman" w:hAnsi="Times New Roman" w:cs="Times New Roman"/>
          <w:sz w:val="24"/>
          <w:szCs w:val="24"/>
        </w:rPr>
        <w:t xml:space="preserve"> – Расшифровка аббревиатур и сокращений</w:t>
      </w:r>
    </w:p>
    <w:tbl>
      <w:tblPr>
        <w:tblStyle w:val="a3"/>
        <w:tblW w:w="9629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1917"/>
        <w:gridCol w:w="7712"/>
      </w:tblGrid>
      <w:tr w:rsidR="002F49AF" w:rsidRPr="00101A66" w:rsidTr="002F49AF">
        <w:trPr>
          <w:cantSplit/>
          <w:tblHeader/>
        </w:trPr>
        <w:tc>
          <w:tcPr>
            <w:tcW w:w="1917" w:type="dxa"/>
          </w:tcPr>
          <w:p w:rsidR="002F49AF" w:rsidRPr="00BC6B63" w:rsidRDefault="002F49AF" w:rsidP="00CC6342">
            <w:pPr>
              <w:pStyle w:val="ab"/>
              <w:spacing w:line="240" w:lineRule="auto"/>
              <w:rPr>
                <w:color w:val="auto"/>
                <w:sz w:val="24"/>
                <w:szCs w:val="24"/>
              </w:rPr>
            </w:pPr>
            <w:r w:rsidRPr="00BC6B63">
              <w:rPr>
                <w:color w:val="auto"/>
                <w:sz w:val="24"/>
                <w:szCs w:val="24"/>
              </w:rPr>
              <w:t>Сокращение</w:t>
            </w:r>
          </w:p>
        </w:tc>
        <w:tc>
          <w:tcPr>
            <w:tcW w:w="7712" w:type="dxa"/>
          </w:tcPr>
          <w:p w:rsidR="002F49AF" w:rsidRPr="00BC6B63" w:rsidRDefault="002F49AF" w:rsidP="00CC6342">
            <w:pPr>
              <w:pStyle w:val="ab"/>
              <w:spacing w:line="240" w:lineRule="auto"/>
              <w:rPr>
                <w:color w:val="auto"/>
                <w:sz w:val="24"/>
                <w:szCs w:val="24"/>
              </w:rPr>
            </w:pPr>
            <w:r w:rsidRPr="00BC6B63">
              <w:rPr>
                <w:color w:val="auto"/>
                <w:sz w:val="24"/>
                <w:szCs w:val="24"/>
              </w:rPr>
              <w:t>Расшифровка</w:t>
            </w:r>
          </w:p>
        </w:tc>
      </w:tr>
      <w:tr w:rsidR="002F49AF" w:rsidRPr="002F49AF" w:rsidTr="002F49AF">
        <w:trPr>
          <w:cantSplit/>
        </w:trPr>
        <w:tc>
          <w:tcPr>
            <w:tcW w:w="1917" w:type="dxa"/>
          </w:tcPr>
          <w:p w:rsidR="002F49AF" w:rsidRPr="00C44006" w:rsidRDefault="00C44006" w:rsidP="00CC6342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API</w:t>
            </w:r>
          </w:p>
        </w:tc>
        <w:tc>
          <w:tcPr>
            <w:tcW w:w="7712" w:type="dxa"/>
          </w:tcPr>
          <w:p w:rsidR="002F49AF" w:rsidRPr="00C953D4" w:rsidRDefault="00C953D4" w:rsidP="00CC6342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Application programming interface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C2C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Consumer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consumer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Операция перевода ЦР между физическими лицами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C2B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Consumer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business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Платежи физических лиц в пользу бизнеса (юридических лиц/физических лиц-самозанятых (например, оплата товаров и услуг)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В2С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Business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to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consumer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Перевод бизнеса (юридических/физических лиц-самозанятых) в пользу физического лица (например, возврат средств, уплаченных за товары и услуги, выплаты по трудовым и гражданско-правовым договорам)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  <w:lang w:val="en-US"/>
              </w:rPr>
              <w:t>UUID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Universally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unique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identifier</w:t>
            </w: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Универсальный уникальный идентификатор. Стандарт идентификации, используемый при создании программного обеспечения, позволяет распределённым системам уникально идентифицировать информацию без центра координации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АРМ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Автоматизированное</w:t>
            </w:r>
            <w:r w:rsidRPr="002F49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рабочее</w:t>
            </w:r>
            <w:r w:rsidRPr="002F49A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АС ФП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Автоматизированная система финансового посредника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ЕСИА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Единая система идентификации и аутентификации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ДБО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Дистанционное банковское обслуживание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ИБ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Информационная безопасность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ИД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Идентификатор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КИИ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Критическая информационная инфраструктура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КК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Контур контроля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Контур обработки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МУиН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Модель угроз и нарушителя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НШР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Нештатный режим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ОП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Оператор Платформы ЦР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РК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Реестр Клиентов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РОРД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Регистрационный, операционный и расчётный депозитарий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РУП</w:t>
            </w: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л</w:t>
            </w: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ЦР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Реестр Участников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ПлЦР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РР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Распределенный реестр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ПБР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Подразделение Банка России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Программное обеспечение</w:t>
            </w:r>
          </w:p>
        </w:tc>
      </w:tr>
      <w:tr w:rsidR="00C44006" w:rsidRPr="002F49AF" w:rsidTr="002F49AF">
        <w:trPr>
          <w:cantSplit/>
          <w:trHeight w:val="362"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ПОД/ФТ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Противодействие легализации (отмыванию) доходов, полученных преступным путём, финансированию терроризма и финансированию распространения оружия массового уничтожения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ПС БР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Платежная система Банка России</w:t>
            </w:r>
          </w:p>
        </w:tc>
      </w:tr>
      <w:tr w:rsidR="00C44006" w:rsidRPr="002F49AF" w:rsidTr="002F49AF">
        <w:trPr>
          <w:cantSplit/>
        </w:trPr>
        <w:tc>
          <w:tcPr>
            <w:tcW w:w="1917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ЦР</w:t>
            </w:r>
          </w:p>
        </w:tc>
        <w:tc>
          <w:tcPr>
            <w:tcW w:w="7712" w:type="dxa"/>
          </w:tcPr>
          <w:p w:rsidR="00C44006" w:rsidRPr="002F49AF" w:rsidRDefault="00C44006" w:rsidP="00C44006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Платформа Цифрового рубля</w:t>
            </w:r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ПМ БР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Программный модуль Банка России</w:t>
            </w:r>
            <w:bookmarkStart w:id="7" w:name="_GoBack"/>
            <w:bookmarkEnd w:id="7"/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САС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Список аннулированных (отозванных) сертификатов</w:t>
            </w:r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СВТ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Средства вычислительной техники</w:t>
            </w:r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СКЗИ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Средство криптографической защиты информации</w:t>
            </w:r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ТШ КБР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Транспортный шлюз Клиента банка России</w:t>
            </w:r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УИП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Уникальный идентификатор платежа</w:t>
            </w:r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УЦ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Удостоверяющий центр</w:t>
            </w:r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ФЛ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Физическое лицо</w:t>
            </w:r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ФЛ-СЗ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Физическое лицо, зарегистрированное в качестве самозанятого</w:t>
            </w:r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ФП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Финансовый посредник</w:t>
            </w:r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ЦР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Цифровой рубль</w:t>
            </w:r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ЦК ПС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953D4">
              <w:rPr>
                <w:rFonts w:ascii="Times New Roman" w:hAnsi="Times New Roman"/>
                <w:bCs/>
                <w:color w:val="000000" w:themeColor="text1"/>
                <w:sz w:val="24"/>
                <w:szCs w:val="24"/>
              </w:rPr>
              <w:t>Централизованная компонента платежной системы Банка России</w:t>
            </w:r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ЭБВС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Эталонная база входящих сообщений</w:t>
            </w:r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ЭБИС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Эталонная база исходящих сообщений</w:t>
            </w:r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ЭП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Электронная подпись</w:t>
            </w:r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ЭС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Электронное сообщение</w:t>
            </w:r>
          </w:p>
        </w:tc>
      </w:tr>
      <w:tr w:rsidR="005E7C39" w:rsidRPr="002F49AF" w:rsidTr="002F49AF">
        <w:trPr>
          <w:cantSplit/>
        </w:trPr>
        <w:tc>
          <w:tcPr>
            <w:tcW w:w="1917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ЮЛ</w:t>
            </w:r>
          </w:p>
        </w:tc>
        <w:tc>
          <w:tcPr>
            <w:tcW w:w="7712" w:type="dxa"/>
          </w:tcPr>
          <w:p w:rsidR="005E7C39" w:rsidRPr="002F49AF" w:rsidRDefault="005E7C39" w:rsidP="005E7C39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F49AF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</w:tr>
    </w:tbl>
    <w:p w:rsidR="00D15CA1" w:rsidRDefault="00D15CA1" w:rsidP="00D71846">
      <w:pPr>
        <w:pStyle w:val="a4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sectPr w:rsidR="00D15CA1" w:rsidSect="00BC6B63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4C50" w:rsidRDefault="00DA4C50" w:rsidP="00A84080">
      <w:pPr>
        <w:spacing w:after="0" w:line="240" w:lineRule="auto"/>
      </w:pPr>
      <w:r>
        <w:separator/>
      </w:r>
    </w:p>
  </w:endnote>
  <w:endnote w:type="continuationSeparator" w:id="0">
    <w:p w:rsidR="00DA4C50" w:rsidRDefault="00DA4C50" w:rsidP="00A84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4C50" w:rsidRDefault="00DA4C50" w:rsidP="00A84080">
      <w:pPr>
        <w:spacing w:after="0" w:line="240" w:lineRule="auto"/>
      </w:pPr>
      <w:r>
        <w:separator/>
      </w:r>
    </w:p>
  </w:footnote>
  <w:footnote w:type="continuationSeparator" w:id="0">
    <w:p w:rsidR="00DA4C50" w:rsidRDefault="00DA4C50" w:rsidP="00A84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417775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A84080" w:rsidRPr="00BC6B63" w:rsidRDefault="00A84080" w:rsidP="00BC6B63">
        <w:pPr>
          <w:pStyle w:val="af2"/>
          <w:jc w:val="center"/>
          <w:rPr>
            <w:rFonts w:ascii="Times New Roman" w:hAnsi="Times New Roman" w:cs="Times New Roman"/>
          </w:rPr>
        </w:pPr>
        <w:r w:rsidRPr="00BC6B63">
          <w:rPr>
            <w:rFonts w:ascii="Times New Roman" w:hAnsi="Times New Roman" w:cs="Times New Roman"/>
          </w:rPr>
          <w:fldChar w:fldCharType="begin"/>
        </w:r>
        <w:r w:rsidRPr="00BC6B63">
          <w:rPr>
            <w:rFonts w:ascii="Times New Roman" w:hAnsi="Times New Roman" w:cs="Times New Roman"/>
          </w:rPr>
          <w:instrText>PAGE   \* MERGEFORMAT</w:instrText>
        </w:r>
        <w:r w:rsidRPr="00BC6B63">
          <w:rPr>
            <w:rFonts w:ascii="Times New Roman" w:hAnsi="Times New Roman" w:cs="Times New Roman"/>
          </w:rPr>
          <w:fldChar w:fldCharType="separate"/>
        </w:r>
        <w:r w:rsidR="005E7C39">
          <w:rPr>
            <w:rFonts w:ascii="Times New Roman" w:hAnsi="Times New Roman" w:cs="Times New Roman"/>
            <w:noProof/>
          </w:rPr>
          <w:t>5</w:t>
        </w:r>
        <w:r w:rsidRPr="00BC6B63">
          <w:rPr>
            <w:rFonts w:ascii="Times New Roman" w:hAnsi="Times New Roman" w:cs="Times New Roman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797938"/>
    <w:multiLevelType w:val="multilevel"/>
    <w:tmpl w:val="ED2C7090"/>
    <w:lvl w:ilvl="0">
      <w:start w:val="1"/>
      <w:numFmt w:val="decimal"/>
      <w:lvlText w:val="%1."/>
      <w:lvlJc w:val="left"/>
      <w:pPr>
        <w:ind w:left="360" w:hanging="360"/>
      </w:pPr>
      <w:rPr>
        <w:b/>
        <w:sz w:val="32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  <w:rPr>
        <w:b w:val="0"/>
        <w:sz w:val="28"/>
        <w:szCs w:val="28"/>
      </w:rPr>
    </w:lvl>
    <w:lvl w:ilvl="2">
      <w:start w:val="1"/>
      <w:numFmt w:val="decimal"/>
      <w:pStyle w:val="111"/>
      <w:lvlText w:val="%1.%2.%3."/>
      <w:lvlJc w:val="left"/>
      <w:pPr>
        <w:ind w:left="787" w:hanging="504"/>
      </w:pPr>
      <w:rPr>
        <w:b w:val="0"/>
        <w:sz w:val="24"/>
        <w:szCs w:val="24"/>
      </w:rPr>
    </w:lvl>
    <w:lvl w:ilvl="3">
      <w:start w:val="1"/>
      <w:numFmt w:val="decimal"/>
      <w:pStyle w:val="4"/>
      <w:lvlText w:val="%1.%2.%3.%4."/>
      <w:lvlJc w:val="left"/>
      <w:pPr>
        <w:ind w:left="790" w:hanging="648"/>
      </w:pPr>
      <w:rPr>
        <w:rFonts w:ascii="Times New Roman" w:hAnsi="Times New Roman" w:cs="Times New Roman" w:hint="default"/>
        <w:b w:val="0"/>
        <w:spacing w:val="0"/>
        <w:sz w:val="24"/>
        <w:szCs w:val="24"/>
      </w:rPr>
    </w:lvl>
    <w:lvl w:ilvl="4">
      <w:start w:val="1"/>
      <w:numFmt w:val="decimal"/>
      <w:pStyle w:val="11111"/>
      <w:lvlText w:val="%1.%2.%3.%4.%5."/>
      <w:lvlJc w:val="left"/>
      <w:pPr>
        <w:ind w:left="15109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8E437B4"/>
    <w:multiLevelType w:val="hybridMultilevel"/>
    <w:tmpl w:val="15B40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activeWritingStyle w:appName="MSWord" w:lang="ru-RU" w:vendorID="64" w:dllVersion="131078" w:nlCheck="1" w:checkStyle="0"/>
  <w:activeWritingStyle w:appName="MSWord" w:lang="en-US" w:vendorID="64" w:dllVersion="131078" w:nlCheck="1" w:checkStyle="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1846"/>
    <w:rsid w:val="0005286A"/>
    <w:rsid w:val="000F201C"/>
    <w:rsid w:val="00101A66"/>
    <w:rsid w:val="0019493D"/>
    <w:rsid w:val="001F3B40"/>
    <w:rsid w:val="002E71D0"/>
    <w:rsid w:val="002F49AF"/>
    <w:rsid w:val="00481270"/>
    <w:rsid w:val="0050149D"/>
    <w:rsid w:val="005E7C39"/>
    <w:rsid w:val="006C33EC"/>
    <w:rsid w:val="0075060B"/>
    <w:rsid w:val="007B72C3"/>
    <w:rsid w:val="008C7D92"/>
    <w:rsid w:val="009B6568"/>
    <w:rsid w:val="009D07CD"/>
    <w:rsid w:val="009E7E1A"/>
    <w:rsid w:val="00A03AD8"/>
    <w:rsid w:val="00A7565E"/>
    <w:rsid w:val="00A767E7"/>
    <w:rsid w:val="00A84080"/>
    <w:rsid w:val="00AB069E"/>
    <w:rsid w:val="00B71AC1"/>
    <w:rsid w:val="00BC6B63"/>
    <w:rsid w:val="00C40CAE"/>
    <w:rsid w:val="00C44006"/>
    <w:rsid w:val="00C953D4"/>
    <w:rsid w:val="00CE696F"/>
    <w:rsid w:val="00D10BBC"/>
    <w:rsid w:val="00D15CA1"/>
    <w:rsid w:val="00D651F6"/>
    <w:rsid w:val="00D71846"/>
    <w:rsid w:val="00DA4C50"/>
    <w:rsid w:val="00DA721E"/>
    <w:rsid w:val="00DF4260"/>
    <w:rsid w:val="00E96506"/>
    <w:rsid w:val="00EB052D"/>
    <w:rsid w:val="00F301FD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DFF83C8-3456-4F71-A1DC-BB50D5424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1846"/>
    <w:pPr>
      <w:spacing w:after="200" w:line="276" w:lineRule="auto"/>
    </w:pPr>
    <w:rPr>
      <w:rFonts w:ascii="Arial" w:eastAsiaTheme="minorEastAsia" w:hAnsi="Arial"/>
      <w:sz w:val="20"/>
    </w:rPr>
  </w:style>
  <w:style w:type="paragraph" w:styleId="1">
    <w:name w:val="heading 1"/>
    <w:basedOn w:val="a"/>
    <w:next w:val="a"/>
    <w:link w:val="10"/>
    <w:uiPriority w:val="9"/>
    <w:qFormat/>
    <w:rsid w:val="00D15CA1"/>
    <w:pPr>
      <w:keepLines/>
      <w:pageBreakBefore/>
      <w:pBdr>
        <w:top w:val="single" w:sz="8" w:space="0" w:color="2172B2"/>
        <w:left w:val="single" w:sz="8" w:space="0" w:color="2172B2"/>
        <w:bottom w:val="single" w:sz="8" w:space="0" w:color="2172B2"/>
        <w:right w:val="single" w:sz="8" w:space="0" w:color="2172B2"/>
      </w:pBdr>
      <w:shd w:val="clear" w:color="auto" w:fill="2172B2"/>
      <w:spacing w:after="120" w:line="240" w:lineRule="auto"/>
      <w:jc w:val="both"/>
      <w:outlineLvl w:val="0"/>
    </w:pPr>
    <w:rPr>
      <w:rFonts w:ascii="Times New Roman" w:eastAsia="Times New Roman" w:hAnsi="Times New Roman" w:cs="Times New Roman"/>
      <w:b/>
      <w:color w:val="FFFFFF"/>
      <w:sz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15CA1"/>
    <w:pPr>
      <w:keepNext/>
      <w:numPr>
        <w:ilvl w:val="1"/>
        <w:numId w:val="1"/>
      </w:numPr>
      <w:pBdr>
        <w:top w:val="single" w:sz="24" w:space="0" w:color="D9DFEF"/>
        <w:left w:val="single" w:sz="24" w:space="0" w:color="D9DFEF"/>
        <w:bottom w:val="single" w:sz="24" w:space="0" w:color="D9DFEF"/>
        <w:right w:val="single" w:sz="24" w:space="0" w:color="D9DFEF"/>
      </w:pBdr>
      <w:shd w:val="clear" w:color="auto" w:fill="D9DFEF"/>
      <w:spacing w:before="120" w:after="60"/>
      <w:jc w:val="both"/>
      <w:outlineLvl w:val="1"/>
    </w:pPr>
    <w:rPr>
      <w:rFonts w:ascii="Times New Roman" w:eastAsia="Times New Roman" w:hAnsi="Times New Roman" w:cs="Times New Roman"/>
      <w:caps/>
      <w:spacing w:val="15"/>
      <w:sz w:val="24"/>
      <w:szCs w:val="20"/>
      <w:lang w:eastAsia="ru-RU"/>
    </w:rPr>
  </w:style>
  <w:style w:type="paragraph" w:styleId="4">
    <w:name w:val="heading 4"/>
    <w:next w:val="a"/>
    <w:link w:val="40"/>
    <w:uiPriority w:val="9"/>
    <w:unhideWhenUsed/>
    <w:qFormat/>
    <w:rsid w:val="00D15CA1"/>
    <w:pPr>
      <w:numPr>
        <w:ilvl w:val="3"/>
        <w:numId w:val="1"/>
      </w:numPr>
      <w:pBdr>
        <w:top w:val="dotted" w:sz="8" w:space="1" w:color="auto"/>
      </w:pBdr>
      <w:spacing w:before="60" w:after="60" w:line="240" w:lineRule="auto"/>
      <w:outlineLvl w:val="3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71846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35"/>
    <w:unhideWhenUsed/>
    <w:qFormat/>
    <w:rsid w:val="00D71846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a5">
    <w:name w:val="ТаблицаНазвание"/>
    <w:basedOn w:val="a"/>
    <w:next w:val="a"/>
    <w:link w:val="11"/>
    <w:rsid w:val="00D71846"/>
    <w:pPr>
      <w:keepNext/>
      <w:spacing w:before="20" w:after="120" w:line="240" w:lineRule="auto"/>
      <w:jc w:val="both"/>
    </w:pPr>
    <w:rPr>
      <w:rFonts w:eastAsia="Times New Roman" w:cs="Times New Roman"/>
      <w:szCs w:val="20"/>
      <w:lang w:eastAsia="ru-RU"/>
    </w:rPr>
  </w:style>
  <w:style w:type="character" w:customStyle="1" w:styleId="11">
    <w:name w:val="ТаблицаНазвание Знак1"/>
    <w:link w:val="a5"/>
    <w:rsid w:val="00D71846"/>
    <w:rPr>
      <w:rFonts w:ascii="Arial" w:eastAsia="Times New Roman" w:hAnsi="Arial" w:cs="Times New Roman"/>
      <w:sz w:val="20"/>
      <w:szCs w:val="20"/>
      <w:lang w:eastAsia="ru-RU"/>
    </w:rPr>
  </w:style>
  <w:style w:type="paragraph" w:styleId="a6">
    <w:name w:val="Message Header"/>
    <w:basedOn w:val="a"/>
    <w:link w:val="a7"/>
    <w:uiPriority w:val="99"/>
    <w:unhideWhenUsed/>
    <w:rsid w:val="00D71846"/>
    <w:pPr>
      <w:keepNext/>
      <w:keepLines/>
      <w:suppressAutoHyphens/>
      <w:spacing w:after="0" w:line="240" w:lineRule="auto"/>
      <w:jc w:val="center"/>
    </w:pPr>
    <w:rPr>
      <w:rFonts w:ascii="Times New Roman" w:eastAsiaTheme="majorEastAsia" w:hAnsi="Times New Roman" w:cstheme="majorBidi"/>
      <w:sz w:val="24"/>
      <w:szCs w:val="24"/>
      <w:lang w:eastAsia="ru-RU"/>
    </w:rPr>
  </w:style>
  <w:style w:type="character" w:customStyle="1" w:styleId="a7">
    <w:name w:val="Шапка Знак"/>
    <w:basedOn w:val="a0"/>
    <w:link w:val="a6"/>
    <w:uiPriority w:val="99"/>
    <w:rsid w:val="00D71846"/>
    <w:rPr>
      <w:rFonts w:ascii="Times New Roman" w:eastAsiaTheme="majorEastAsia" w:hAnsi="Times New Roman" w:cstheme="majorBidi"/>
      <w:sz w:val="24"/>
      <w:szCs w:val="24"/>
      <w:lang w:eastAsia="ru-RU"/>
    </w:rPr>
  </w:style>
  <w:style w:type="paragraph" w:customStyle="1" w:styleId="a8">
    <w:name w:val="Титул"/>
    <w:basedOn w:val="a"/>
    <w:rsid w:val="00D71846"/>
    <w:pPr>
      <w:jc w:val="center"/>
    </w:pPr>
    <w:rPr>
      <w:rFonts w:cs="Arial"/>
      <w:b/>
      <w:bCs/>
      <w:caps/>
      <w:noProof/>
      <w:sz w:val="24"/>
      <w:szCs w:val="28"/>
    </w:rPr>
  </w:style>
  <w:style w:type="paragraph" w:customStyle="1" w:styleId="a9">
    <w:name w:val="ТитулНазвание"/>
    <w:basedOn w:val="a"/>
    <w:rsid w:val="00D71846"/>
    <w:pPr>
      <w:jc w:val="center"/>
    </w:pPr>
    <w:rPr>
      <w:b/>
      <w:bCs/>
      <w:sz w:val="32"/>
      <w:szCs w:val="32"/>
    </w:rPr>
  </w:style>
  <w:style w:type="paragraph" w:customStyle="1" w:styleId="aa">
    <w:name w:val="ТитулИнформация"/>
    <w:basedOn w:val="a"/>
    <w:rsid w:val="00D71846"/>
    <w:pPr>
      <w:spacing w:before="240"/>
      <w:jc w:val="center"/>
    </w:pPr>
    <w:rPr>
      <w:b/>
    </w:rPr>
  </w:style>
  <w:style w:type="paragraph" w:customStyle="1" w:styleId="ab">
    <w:name w:val="Заголовки таблиц"/>
    <w:basedOn w:val="a"/>
    <w:link w:val="Char"/>
    <w:qFormat/>
    <w:rsid w:val="00CE696F"/>
    <w:pPr>
      <w:tabs>
        <w:tab w:val="left" w:pos="7575"/>
      </w:tabs>
      <w:spacing w:after="0"/>
      <w:ind w:left="-91" w:right="-33"/>
      <w:jc w:val="center"/>
    </w:pPr>
    <w:rPr>
      <w:rFonts w:ascii="Times New Roman" w:eastAsia="Calibri" w:hAnsi="Times New Roman" w:cs="Times New Roman"/>
      <w:b/>
      <w:color w:val="FFFFFF"/>
    </w:rPr>
  </w:style>
  <w:style w:type="character" w:customStyle="1" w:styleId="Char">
    <w:name w:val="Заголовки таблиц Char"/>
    <w:link w:val="ab"/>
    <w:rsid w:val="00CE696F"/>
    <w:rPr>
      <w:rFonts w:ascii="Times New Roman" w:eastAsia="Calibri" w:hAnsi="Times New Roman" w:cs="Times New Roman"/>
      <w:b/>
      <w:color w:val="FFFFFF"/>
      <w:sz w:val="20"/>
    </w:rPr>
  </w:style>
  <w:style w:type="paragraph" w:styleId="ac">
    <w:name w:val="annotation text"/>
    <w:basedOn w:val="a"/>
    <w:link w:val="ad"/>
    <w:uiPriority w:val="99"/>
    <w:unhideWhenUsed/>
    <w:rsid w:val="007B72C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Текст примечания Знак"/>
    <w:basedOn w:val="a0"/>
    <w:link w:val="ac"/>
    <w:uiPriority w:val="99"/>
    <w:rsid w:val="007B72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7B72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7B72C3"/>
    <w:rPr>
      <w:rFonts w:ascii="Segoe UI" w:eastAsiaTheme="minorEastAsia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15CA1"/>
    <w:rPr>
      <w:rFonts w:ascii="Times New Roman" w:eastAsia="Times New Roman" w:hAnsi="Times New Roman" w:cs="Times New Roman"/>
      <w:b/>
      <w:color w:val="FFFFFF"/>
      <w:sz w:val="32"/>
      <w:shd w:val="clear" w:color="auto" w:fill="2172B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D15CA1"/>
    <w:rPr>
      <w:rFonts w:ascii="Times New Roman" w:eastAsia="Times New Roman" w:hAnsi="Times New Roman" w:cs="Times New Roman"/>
      <w:caps/>
      <w:spacing w:val="15"/>
      <w:sz w:val="24"/>
      <w:szCs w:val="20"/>
      <w:shd w:val="clear" w:color="auto" w:fill="D9DFEF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15CA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annotation reference"/>
    <w:uiPriority w:val="99"/>
    <w:unhideWhenUsed/>
    <w:rsid w:val="00D15CA1"/>
    <w:rPr>
      <w:sz w:val="16"/>
      <w:szCs w:val="16"/>
    </w:rPr>
  </w:style>
  <w:style w:type="paragraph" w:customStyle="1" w:styleId="af1">
    <w:name w:val="Комментарии по заполнению"/>
    <w:basedOn w:val="a"/>
    <w:link w:val="Char0"/>
    <w:qFormat/>
    <w:rsid w:val="00D15CA1"/>
    <w:pPr>
      <w:spacing w:before="60" w:after="0"/>
    </w:pPr>
    <w:rPr>
      <w:rFonts w:ascii="Times New Roman" w:eastAsia="Times New Roman" w:hAnsi="Times New Roman" w:cs="Times New Roman"/>
      <w:i/>
      <w:color w:val="808080"/>
      <w:sz w:val="24"/>
      <w:szCs w:val="20"/>
      <w:lang w:eastAsia="ru-RU"/>
    </w:rPr>
  </w:style>
  <w:style w:type="character" w:customStyle="1" w:styleId="Char0">
    <w:name w:val="Комментарии по заполнению Char"/>
    <w:link w:val="af1"/>
    <w:rsid w:val="00D15CA1"/>
    <w:rPr>
      <w:rFonts w:ascii="Times New Roman" w:eastAsia="Times New Roman" w:hAnsi="Times New Roman" w:cs="Times New Roman"/>
      <w:i/>
      <w:color w:val="808080"/>
      <w:sz w:val="24"/>
      <w:szCs w:val="20"/>
      <w:lang w:eastAsia="ru-RU"/>
    </w:rPr>
  </w:style>
  <w:style w:type="paragraph" w:customStyle="1" w:styleId="111">
    <w:name w:val="Требование 1.1.1"/>
    <w:basedOn w:val="a"/>
    <w:qFormat/>
    <w:rsid w:val="00D15CA1"/>
    <w:pPr>
      <w:keepNext/>
      <w:numPr>
        <w:ilvl w:val="2"/>
        <w:numId w:val="1"/>
      </w:numPr>
      <w:pBdr>
        <w:top w:val="single" w:sz="24" w:space="0" w:color="D9DFEF"/>
      </w:pBdr>
      <w:spacing w:before="120" w:after="60" w:line="240" w:lineRule="auto"/>
      <w:jc w:val="both"/>
      <w:textboxTightWrap w:val="allLines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111">
    <w:name w:val="1.1.1.1.1. Требование"/>
    <w:basedOn w:val="4"/>
    <w:qFormat/>
    <w:rsid w:val="00D15CA1"/>
    <w:pPr>
      <w:numPr>
        <w:ilvl w:val="4"/>
      </w:numPr>
      <w:pBdr>
        <w:top w:val="none" w:sz="0" w:space="0" w:color="auto"/>
      </w:pBdr>
      <w:tabs>
        <w:tab w:val="left" w:pos="1134"/>
      </w:tabs>
      <w:ind w:left="0" w:firstLine="0"/>
      <w:jc w:val="both"/>
      <w:outlineLvl w:val="9"/>
    </w:pPr>
  </w:style>
  <w:style w:type="table" w:customStyle="1" w:styleId="12">
    <w:name w:val="Сетка таблицы1"/>
    <w:basedOn w:val="a1"/>
    <w:next w:val="a3"/>
    <w:rsid w:val="00D651F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2">
    <w:name w:val="header"/>
    <w:basedOn w:val="a"/>
    <w:link w:val="af3"/>
    <w:uiPriority w:val="99"/>
    <w:unhideWhenUsed/>
    <w:rsid w:val="00A84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A84080"/>
    <w:rPr>
      <w:rFonts w:ascii="Arial" w:eastAsiaTheme="minorEastAsia" w:hAnsi="Arial"/>
      <w:sz w:val="20"/>
    </w:rPr>
  </w:style>
  <w:style w:type="paragraph" w:styleId="af4">
    <w:name w:val="footer"/>
    <w:basedOn w:val="a"/>
    <w:link w:val="af5"/>
    <w:uiPriority w:val="99"/>
    <w:unhideWhenUsed/>
    <w:rsid w:val="00A84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A84080"/>
    <w:rPr>
      <w:rFonts w:ascii="Arial" w:eastAsiaTheme="minorEastAsia" w:hAnsi="Arial"/>
      <w:sz w:val="20"/>
    </w:rPr>
  </w:style>
  <w:style w:type="character" w:customStyle="1" w:styleId="af6">
    <w:name w:val="ЗнакПолужирный"/>
    <w:rsid w:val="00C953D4"/>
    <w:rPr>
      <w:rFonts w:ascii="Arial" w:hAnsi="Arial"/>
      <w:b/>
      <w:bCs/>
      <w:noProof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8FC7A-A588-48A1-AED4-ABA6525F6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1488</Words>
  <Characters>8483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Юлдашева Фарида Эдуардовна</dc:creator>
  <cp:keywords/>
  <dc:description/>
  <cp:lastModifiedBy>Грапонов Денис Вячеславович</cp:lastModifiedBy>
  <cp:revision>4</cp:revision>
  <dcterms:created xsi:type="dcterms:W3CDTF">2022-08-25T09:59:00Z</dcterms:created>
  <dcterms:modified xsi:type="dcterms:W3CDTF">2022-08-25T10:01:00Z</dcterms:modified>
</cp:coreProperties>
</file>